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EE" w:rsidRDefault="000C5CC6">
      <w:pPr>
        <w:pStyle w:val="LO-normal"/>
        <w:keepNext/>
        <w:widowControl w:val="0"/>
        <w:jc w:val="center"/>
      </w:pPr>
      <w:r>
        <w:rPr>
          <w:b/>
          <w:sz w:val="36"/>
          <w:szCs w:val="36"/>
        </w:rPr>
        <w:t>PARLAMENT ČESKÉ REPUBLIKY</w:t>
      </w:r>
    </w:p>
    <w:p w:rsidR="003038EE" w:rsidRDefault="000C5CC6">
      <w:pPr>
        <w:pStyle w:val="LO-normal"/>
        <w:spacing w:after="200"/>
        <w:jc w:val="center"/>
      </w:pPr>
      <w:r>
        <w:rPr>
          <w:sz w:val="36"/>
          <w:szCs w:val="36"/>
        </w:rPr>
        <w:t>Senát</w:t>
      </w:r>
    </w:p>
    <w:p w:rsidR="003038EE" w:rsidRDefault="000C5CC6">
      <w:pPr>
        <w:pStyle w:val="LO-normal"/>
        <w:spacing w:after="200"/>
        <w:jc w:val="center"/>
      </w:pPr>
      <w:r>
        <w:rPr>
          <w:sz w:val="36"/>
          <w:szCs w:val="36"/>
        </w:rPr>
        <w:t>2019</w:t>
      </w:r>
    </w:p>
    <w:p w:rsidR="003038EE" w:rsidRDefault="000C5CC6">
      <w:pPr>
        <w:pStyle w:val="LO-normal"/>
        <w:spacing w:after="200"/>
        <w:jc w:val="center"/>
      </w:pPr>
      <w:r>
        <w:rPr>
          <w:sz w:val="36"/>
          <w:szCs w:val="36"/>
        </w:rPr>
        <w:t>12. funkční období</w:t>
      </w:r>
    </w:p>
    <w:p w:rsidR="003038EE" w:rsidRDefault="000C5CC6">
      <w:pPr>
        <w:pStyle w:val="LO-normal"/>
        <w:spacing w:after="200"/>
        <w:jc w:val="center"/>
      </w:pPr>
      <w:r>
        <w:rPr>
          <w:sz w:val="28"/>
          <w:szCs w:val="28"/>
        </w:rPr>
        <w:t>___________________________________________________________</w:t>
      </w:r>
    </w:p>
    <w:p w:rsidR="003038EE" w:rsidRDefault="003038EE">
      <w:pPr>
        <w:pStyle w:val="LO-normal"/>
        <w:spacing w:after="200"/>
        <w:jc w:val="center"/>
        <w:rPr>
          <w:sz w:val="28"/>
          <w:szCs w:val="28"/>
        </w:rPr>
      </w:pPr>
    </w:p>
    <w:p w:rsidR="003038EE" w:rsidRDefault="003038EE">
      <w:pPr>
        <w:pStyle w:val="LO-normal"/>
        <w:spacing w:after="200"/>
        <w:jc w:val="center"/>
        <w:rPr>
          <w:sz w:val="28"/>
          <w:szCs w:val="28"/>
        </w:rPr>
      </w:pPr>
    </w:p>
    <w:p w:rsidR="003038EE" w:rsidRDefault="000C5CC6">
      <w:pPr>
        <w:pStyle w:val="LO-normal"/>
        <w:keepNext/>
        <w:keepLines/>
        <w:widowControl w:val="0"/>
        <w:spacing w:after="120"/>
        <w:jc w:val="center"/>
      </w:pPr>
      <w:r>
        <w:rPr>
          <w:b/>
          <w:sz w:val="32"/>
          <w:szCs w:val="32"/>
        </w:rPr>
        <w:t>Pozměňovací návrh č. 1 (rizikové dřeviny)</w:t>
      </w:r>
    </w:p>
    <w:p w:rsidR="003038EE" w:rsidRDefault="003038EE">
      <w:pPr>
        <w:pStyle w:val="LO-normal"/>
        <w:spacing w:after="200"/>
        <w:jc w:val="center"/>
        <w:rPr>
          <w:sz w:val="28"/>
          <w:szCs w:val="28"/>
        </w:rPr>
      </w:pPr>
    </w:p>
    <w:p w:rsidR="003038EE" w:rsidRDefault="003038EE">
      <w:pPr>
        <w:pStyle w:val="LO-normal"/>
        <w:spacing w:after="200"/>
        <w:jc w:val="center"/>
        <w:rPr>
          <w:b/>
          <w:sz w:val="28"/>
          <w:szCs w:val="28"/>
        </w:rPr>
      </w:pPr>
    </w:p>
    <w:p w:rsidR="003038EE" w:rsidRDefault="003038EE">
      <w:pPr>
        <w:pStyle w:val="LO-normal"/>
        <w:spacing w:after="200"/>
        <w:jc w:val="center"/>
        <w:rPr>
          <w:sz w:val="28"/>
          <w:szCs w:val="28"/>
        </w:rPr>
      </w:pPr>
    </w:p>
    <w:p w:rsidR="003038EE" w:rsidRDefault="000C5CC6">
      <w:pPr>
        <w:pStyle w:val="LO-normal"/>
        <w:spacing w:after="200"/>
        <w:jc w:val="center"/>
      </w:pPr>
      <w:r>
        <w:rPr>
          <w:b/>
          <w:sz w:val="28"/>
          <w:szCs w:val="28"/>
        </w:rPr>
        <w:t xml:space="preserve">k návrhu zákona, kterým se mění zákon č. 289/1995 Sb., o lesích a o změně a doplnění </w:t>
      </w:r>
      <w:r>
        <w:rPr>
          <w:b/>
          <w:sz w:val="28"/>
          <w:szCs w:val="28"/>
        </w:rPr>
        <w:t>některých zákonů (lesní zákon), ve znění pozdějších předpisů, a další související zákony</w:t>
      </w:r>
    </w:p>
    <w:p w:rsidR="003038EE" w:rsidRDefault="003038EE">
      <w:pPr>
        <w:pStyle w:val="LO-normal"/>
        <w:spacing w:after="200"/>
        <w:jc w:val="center"/>
        <w:rPr>
          <w:b/>
          <w:sz w:val="28"/>
          <w:szCs w:val="28"/>
        </w:rPr>
      </w:pPr>
    </w:p>
    <w:p w:rsidR="003038EE" w:rsidRDefault="000C5CC6">
      <w:pPr>
        <w:pStyle w:val="LO-normal"/>
        <w:spacing w:after="200"/>
        <w:jc w:val="center"/>
      </w:pPr>
      <w:r>
        <w:rPr>
          <w:b/>
          <w:sz w:val="28"/>
          <w:szCs w:val="28"/>
        </w:rPr>
        <w:br/>
      </w:r>
    </w:p>
    <w:p w:rsidR="003038EE" w:rsidRDefault="003038EE">
      <w:pPr>
        <w:pStyle w:val="LO-normal"/>
        <w:spacing w:after="200"/>
        <w:jc w:val="center"/>
        <w:rPr>
          <w:sz w:val="30"/>
          <w:szCs w:val="30"/>
        </w:rPr>
      </w:pPr>
    </w:p>
    <w:p w:rsidR="003038EE" w:rsidRDefault="003038EE">
      <w:pPr>
        <w:pStyle w:val="LO-normal"/>
        <w:spacing w:after="200"/>
        <w:jc w:val="center"/>
        <w:rPr>
          <w:sz w:val="30"/>
          <w:szCs w:val="30"/>
        </w:rPr>
      </w:pPr>
    </w:p>
    <w:p w:rsidR="003038EE" w:rsidRDefault="000C5CC6">
      <w:pPr>
        <w:pStyle w:val="LO-normal"/>
        <w:spacing w:after="200"/>
        <w:jc w:val="center"/>
      </w:pPr>
      <w:r>
        <w:rPr>
          <w:sz w:val="30"/>
          <w:szCs w:val="30"/>
        </w:rPr>
        <w:t>(senátní tisk č. 138)</w:t>
      </w:r>
    </w:p>
    <w:p w:rsidR="003038EE" w:rsidRDefault="003038EE">
      <w:pPr>
        <w:pStyle w:val="LO-normal"/>
        <w:keepNext/>
        <w:widowControl w:val="0"/>
        <w:spacing w:before="240" w:after="120"/>
        <w:jc w:val="center"/>
        <w:rPr>
          <w:sz w:val="30"/>
          <w:szCs w:val="30"/>
        </w:rPr>
      </w:pPr>
    </w:p>
    <w:p w:rsidR="003038EE" w:rsidRDefault="000C5CC6">
      <w:pPr>
        <w:pStyle w:val="LO-normal"/>
        <w:widowControl w:val="0"/>
        <w:spacing w:before="240" w:after="120"/>
        <w:jc w:val="center"/>
        <w:rPr>
          <w:sz w:val="30"/>
          <w:szCs w:val="30"/>
        </w:rPr>
      </w:pPr>
      <w:bookmarkStart w:id="0" w:name="__DdeLink__580_3137828109"/>
      <w:r>
        <w:rPr>
          <w:sz w:val="30"/>
          <w:szCs w:val="30"/>
        </w:rPr>
        <w:t>(navazuje na sněmovní tisk č. 408 z 8. volebního o</w:t>
      </w:r>
      <w:r>
        <w:rPr>
          <w:sz w:val="30"/>
          <w:szCs w:val="30"/>
        </w:rPr>
        <w:t>bdobí PS PČR)</w:t>
      </w:r>
      <w:bookmarkEnd w:id="0"/>
      <w:r>
        <w:rPr>
          <w:sz w:val="30"/>
          <w:szCs w:val="30"/>
        </w:rPr>
        <w:t xml:space="preserve">  </w:t>
      </w:r>
    </w:p>
    <w:p w:rsidR="003038EE" w:rsidRDefault="003038EE">
      <w:pPr>
        <w:pStyle w:val="LO-normal"/>
        <w:jc w:val="both"/>
      </w:pPr>
    </w:p>
    <w:p w:rsidR="003038EE" w:rsidRDefault="003038EE">
      <w:pPr>
        <w:pStyle w:val="LO-normal"/>
        <w:jc w:val="both"/>
      </w:pPr>
    </w:p>
    <w:p w:rsidR="003038EE" w:rsidRDefault="003038EE">
      <w:pPr>
        <w:pStyle w:val="LO-normal"/>
        <w:jc w:val="both"/>
        <w:rPr>
          <w:b/>
          <w:sz w:val="24"/>
          <w:szCs w:val="24"/>
          <w:u w:val="single"/>
        </w:rPr>
      </w:pPr>
    </w:p>
    <w:p w:rsidR="003038EE" w:rsidRDefault="003038EE">
      <w:pPr>
        <w:pStyle w:val="LO-normal"/>
        <w:jc w:val="both"/>
        <w:rPr>
          <w:b/>
          <w:sz w:val="24"/>
          <w:szCs w:val="24"/>
          <w:u w:val="single"/>
        </w:rPr>
      </w:pPr>
    </w:p>
    <w:p w:rsidR="003038EE" w:rsidRDefault="003038EE">
      <w:pPr>
        <w:pStyle w:val="LO-normal"/>
        <w:jc w:val="both"/>
        <w:rPr>
          <w:b/>
          <w:sz w:val="24"/>
          <w:szCs w:val="24"/>
          <w:u w:val="single"/>
        </w:rPr>
      </w:pPr>
    </w:p>
    <w:p w:rsidR="003038EE" w:rsidRDefault="003038EE">
      <w:pPr>
        <w:pStyle w:val="LO-normal"/>
        <w:jc w:val="both"/>
        <w:rPr>
          <w:b/>
          <w:sz w:val="24"/>
          <w:szCs w:val="24"/>
          <w:u w:val="single"/>
        </w:rPr>
      </w:pPr>
    </w:p>
    <w:p w:rsidR="003038EE" w:rsidRDefault="003038EE">
      <w:pPr>
        <w:pStyle w:val="LO-normal"/>
        <w:jc w:val="both"/>
        <w:rPr>
          <w:b/>
          <w:sz w:val="24"/>
          <w:szCs w:val="24"/>
          <w:u w:val="single"/>
        </w:rPr>
      </w:pPr>
    </w:p>
    <w:p w:rsidR="003038EE" w:rsidRDefault="003038EE">
      <w:pPr>
        <w:pStyle w:val="LO-normal"/>
        <w:jc w:val="both"/>
        <w:rPr>
          <w:b/>
          <w:sz w:val="24"/>
          <w:szCs w:val="24"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0C5CC6">
      <w:pPr>
        <w:pStyle w:val="LO-normal"/>
        <w:jc w:val="both"/>
      </w:pPr>
      <w:r>
        <w:rPr>
          <w:b/>
          <w:u w:val="single"/>
        </w:rPr>
        <w:lastRenderedPageBreak/>
        <w:t>Text návrhu: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1. V části první článku I návrhu zákona se před</w:t>
      </w:r>
      <w:r>
        <w:t xml:space="preserve"> novelizační bod č. 1 podle předloženého textu návrhu zákona doplňuje novelizační bod č. 1, který zní:</w:t>
      </w:r>
    </w:p>
    <w:p w:rsidR="003038EE" w:rsidRDefault="003038EE">
      <w:pPr>
        <w:pStyle w:val="LO-normal"/>
        <w:ind w:left="737"/>
        <w:jc w:val="both"/>
      </w:pPr>
    </w:p>
    <w:p w:rsidR="003038EE" w:rsidRDefault="000C5CC6">
      <w:pPr>
        <w:pStyle w:val="LO-normal"/>
        <w:ind w:left="737"/>
        <w:jc w:val="both"/>
      </w:pPr>
      <w:r>
        <w:t>„1. V § 2 se na konci písmene s) nahrazuje tečka čárkou, za kterou se doplňuje písmeno t), které zní:</w:t>
      </w:r>
    </w:p>
    <w:p w:rsidR="003038EE" w:rsidRDefault="003038EE">
      <w:pPr>
        <w:pStyle w:val="LO-normal"/>
        <w:ind w:left="737"/>
        <w:jc w:val="both"/>
      </w:pPr>
    </w:p>
    <w:p w:rsidR="003038EE" w:rsidRDefault="000C5CC6">
      <w:pPr>
        <w:pStyle w:val="LO-normal"/>
        <w:ind w:left="737"/>
        <w:jc w:val="both"/>
      </w:pPr>
      <w:r>
        <w:t xml:space="preserve">„t) </w:t>
      </w:r>
      <w:r>
        <w:rPr>
          <w:rStyle w:val="Zdraznn"/>
          <w:i w:val="0"/>
          <w:iCs w:val="0"/>
        </w:rPr>
        <w:t>ekologicky a klimaticky rizikovými dřevinam</w:t>
      </w:r>
      <w:r>
        <w:rPr>
          <w:rStyle w:val="Zdraznn"/>
          <w:i w:val="0"/>
          <w:iCs w:val="0"/>
        </w:rPr>
        <w:t xml:space="preserve">i dřeviny, jejichž klimatické, půdní či jiné nároky neodpovídají podmínkám daného stanoviště nebo jeho očekávaným změnám, které nejsou schopny přiměřeně odolávat působícím škodlivým činitelům či jiným stresovým faktorům nebo u nichž existuje vysoké riziko </w:t>
      </w:r>
      <w:r>
        <w:rPr>
          <w:rStyle w:val="Zdraznn"/>
          <w:i w:val="0"/>
          <w:iCs w:val="0"/>
        </w:rPr>
        <w:t>rozpadu jejich porostů; ekologicky a klimaticky rizikovými dřevinami se dále vždy rozumí mimoevropské geograficky nepůvodní dřeviny, jejichž bezpečnost pěstování nebyla v tuzemských podmínkách dlouhodobě ověřena</w:t>
      </w:r>
      <w:r>
        <w:t>.“.“.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Novelizační body následující za doplně</w:t>
      </w:r>
      <w:r>
        <w:t>ným novelizačním bodem se přečíslují.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2. V části první článku I návrhu zákona se před novelizační bod č. 8 podle předloženého textu návrhu zákona doplňují nové novelizační body, které znějí:</w:t>
      </w:r>
    </w:p>
    <w:p w:rsidR="003038EE" w:rsidRDefault="000C5CC6">
      <w:pPr>
        <w:pStyle w:val="LO-normal"/>
        <w:ind w:left="720"/>
        <w:jc w:val="both"/>
      </w:pPr>
      <w:r>
        <w:t xml:space="preserve"> </w:t>
      </w:r>
    </w:p>
    <w:p w:rsidR="003038EE" w:rsidRDefault="000C5CC6">
      <w:pPr>
        <w:pStyle w:val="LO-normal"/>
        <w:ind w:left="720"/>
        <w:jc w:val="both"/>
      </w:pPr>
      <w:r>
        <w:t xml:space="preserve">„9. V § 24 odstavci 2 se ve větě druhé slova „minimální podíl </w:t>
      </w:r>
      <w:r>
        <w:t>melioračních a zpevňujících dřevin“ nahrazují slovy „maximální podíl ekologicky a klimaticky rizikových dřevin, který nesmí být překročen při obnově porostu, ani následnými výchovnými zásahy“.</w:t>
      </w:r>
    </w:p>
    <w:p w:rsidR="003038EE" w:rsidRDefault="000C5CC6">
      <w:pPr>
        <w:pStyle w:val="LO-normal"/>
        <w:ind w:left="720"/>
        <w:jc w:val="both"/>
      </w:pPr>
      <w:r>
        <w:t xml:space="preserve"> </w:t>
      </w:r>
    </w:p>
    <w:p w:rsidR="003038EE" w:rsidRDefault="000C5CC6">
      <w:pPr>
        <w:pStyle w:val="LO-normal"/>
        <w:ind w:left="740"/>
        <w:jc w:val="both"/>
      </w:pPr>
      <w:r>
        <w:t>10. V § 24 odstavci 2 se ve větě třetí slova „minimálního pod</w:t>
      </w:r>
      <w:r>
        <w:t>ílu melioračních a zpevňujících“ nahrazují slovy „domácích druhů ekologicky a klimaticky vhodných“.</w:t>
      </w:r>
    </w:p>
    <w:p w:rsidR="003038EE" w:rsidRDefault="003038EE">
      <w:pPr>
        <w:pStyle w:val="LO-normal"/>
        <w:ind w:left="740"/>
        <w:jc w:val="both"/>
      </w:pPr>
    </w:p>
    <w:p w:rsidR="003038EE" w:rsidRDefault="000C5CC6">
      <w:pPr>
        <w:pStyle w:val="LO-normal"/>
        <w:ind w:left="740"/>
        <w:jc w:val="both"/>
      </w:pPr>
      <w:r>
        <w:t>11. V § 25 odstavci 3 se slova „podíl melioračních a zpevňujících“ nahrazují slovy „maximální podíl ekologicky a klimaticky rizikových“.“.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jc w:val="both"/>
      </w:pPr>
      <w:r>
        <w:t xml:space="preserve">Novelizační </w:t>
      </w:r>
      <w:r>
        <w:t>body následující za doplněnými novelizačními body se přečíslují.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jc w:val="both"/>
      </w:pPr>
      <w:r>
        <w:t>2. V části první článku I návrhu zákona se před novelizační bod č. 11 podle předloženého textu návrhu zákona doplňuje nový novelizační bod, který zní: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ind w:left="740"/>
        <w:jc w:val="both"/>
      </w:pPr>
      <w:r>
        <w:t>„15. V § 31 odstavci 1 větě první se</w:t>
      </w:r>
      <w:r>
        <w:t xml:space="preserve"> slovo „stanovištně“ nahrazuje slovy „ekologicky a klimaticky“.“.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ind w:left="740"/>
        <w:jc w:val="both"/>
      </w:pPr>
      <w:r>
        <w:t>Novelizační body následující za doplněným novelizačním bodem se přečíslují.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jc w:val="both"/>
      </w:pPr>
      <w:r>
        <w:t>3. V části první článku I návrhu zákona se před novelizační bod č. 25 podle předloženého textu návrhu zákona d</w:t>
      </w:r>
      <w:r>
        <w:t>oplňuje nový novelizační bod, který zní: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ind w:left="740"/>
        <w:jc w:val="both"/>
      </w:pPr>
      <w:r>
        <w:t>„30. V § 46 odstavci 1 písmenu c) se slova „melioračních a zpevňujících“ nahrazují slovy „domácích druhů ekologicky a klimaticky vhodných“.“.</w:t>
      </w:r>
    </w:p>
    <w:p w:rsidR="003038EE" w:rsidRDefault="000C5CC6">
      <w:pPr>
        <w:pStyle w:val="LO-normal"/>
        <w:ind w:left="740"/>
        <w:jc w:val="both"/>
      </w:pPr>
      <w:r>
        <w:t xml:space="preserve"> </w:t>
      </w:r>
    </w:p>
    <w:p w:rsidR="003038EE" w:rsidRDefault="000C5CC6">
      <w:pPr>
        <w:pStyle w:val="LO-normal"/>
        <w:ind w:left="740"/>
        <w:jc w:val="both"/>
      </w:pPr>
      <w:r>
        <w:t>Novelizační body následující za doplněným novelizačním bodem se přečí</w:t>
      </w:r>
      <w:r>
        <w:t>slují.</w:t>
      </w:r>
    </w:p>
    <w:p w:rsidR="003038EE" w:rsidRDefault="003038EE">
      <w:pPr>
        <w:pStyle w:val="LO-normal"/>
        <w:ind w:left="740"/>
        <w:jc w:val="both"/>
      </w:pPr>
    </w:p>
    <w:p w:rsidR="003038EE" w:rsidRDefault="000C5CC6">
      <w:pPr>
        <w:pStyle w:val="LO-normal"/>
        <w:jc w:val="both"/>
      </w:pPr>
      <w:r>
        <w:t xml:space="preserve">4. V části první </w:t>
      </w:r>
      <w:proofErr w:type="gramStart"/>
      <w:r>
        <w:t>článku</w:t>
      </w:r>
      <w:proofErr w:type="gramEnd"/>
      <w:r>
        <w:t xml:space="preserve"> II návrhu zákona se za bod 1. vkládají body 3. a 4., které znějí:</w:t>
      </w:r>
    </w:p>
    <w:p w:rsidR="003038EE" w:rsidRDefault="000C5CC6">
      <w:pPr>
        <w:pStyle w:val="LO-normal"/>
        <w:ind w:left="720"/>
        <w:jc w:val="both"/>
      </w:pPr>
      <w:r>
        <w:t xml:space="preserve"> </w:t>
      </w:r>
    </w:p>
    <w:p w:rsidR="003038EE" w:rsidRDefault="000C5CC6">
      <w:pPr>
        <w:pStyle w:val="LO-normal"/>
        <w:ind w:left="720"/>
        <w:jc w:val="both"/>
      </w:pPr>
      <w:r>
        <w:t>„2. Řízení o schvalování lesních hospodářských plánů nebo povolování jejich změn zahájená přede dnem nabytí účinnosti tohoto zákona se dokončí podle dosavad</w:t>
      </w:r>
      <w:r>
        <w:t>ních právních předpisů.</w:t>
      </w:r>
    </w:p>
    <w:p w:rsidR="003038EE" w:rsidRDefault="000C5CC6">
      <w:pPr>
        <w:pStyle w:val="LO-normal"/>
        <w:ind w:left="720"/>
        <w:jc w:val="both"/>
      </w:pPr>
      <w:r>
        <w:t xml:space="preserve"> </w:t>
      </w:r>
    </w:p>
    <w:p w:rsidR="003038EE" w:rsidRDefault="000C5CC6">
      <w:pPr>
        <w:pStyle w:val="LO-normal"/>
        <w:ind w:left="720"/>
        <w:jc w:val="both"/>
      </w:pPr>
      <w:r>
        <w:t>3. Lesní hospodářské plány schválené přede dnem nabytí účinnosti ustanovení tohoto zákona měnících obsah závazných ustanovení lesních hospodářských plánů a lesní hospodářské osnovy zpracované přede dnem nabytí účinnosti ustanovení</w:t>
      </w:r>
      <w:r>
        <w:t xml:space="preserve"> tohoto zákona </w:t>
      </w:r>
      <w:r>
        <w:lastRenderedPageBreak/>
        <w:t>měnících obsah závazných ustanovení lesních hospodářských osnov zůstávají i nadále v platnosti; jejich obsah včetně závazných ustanovení se posuzuje podle právních předpisů ve znění ke dni předcházejícímu nabytí účinnosti tohoto zákona. Vlas</w:t>
      </w:r>
      <w:r>
        <w:t xml:space="preserve">tník lesa má právo i před skončením platnosti takového lesního hospodářského plánu předložit návrh nového lesního hospodářského plánu podle zákona č. 289/1995 </w:t>
      </w:r>
      <w:proofErr w:type="spellStart"/>
      <w:r>
        <w:t>Sb</w:t>
      </w:r>
      <w:proofErr w:type="spellEnd"/>
      <w:r>
        <w:t>, o lesích a o změně a doplnění některých zákonů (lesní zákon), ve znění po nabytí účinnosti us</w:t>
      </w:r>
      <w:r>
        <w:t>tanovení tohoto zákona měnících obsah závazných částí lesních hospodářských plánů, jehož schválením se stávající lesní hospodářský plán nahradí.“.</w:t>
      </w:r>
    </w:p>
    <w:p w:rsidR="003038EE" w:rsidRDefault="000C5CC6">
      <w:pPr>
        <w:pStyle w:val="LO-normal"/>
        <w:ind w:left="720"/>
        <w:jc w:val="both"/>
      </w:pPr>
      <w:r>
        <w:t xml:space="preserve"> </w:t>
      </w:r>
    </w:p>
    <w:p w:rsidR="003038EE" w:rsidRDefault="000C5CC6">
      <w:pPr>
        <w:pStyle w:val="LO-normal"/>
        <w:ind w:left="720"/>
        <w:jc w:val="both"/>
      </w:pPr>
      <w:r>
        <w:t>Bod 2. v článku II části první dosavadního návrhu zákona se označuje jako bod 4.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 xml:space="preserve">5. V části čtvrté článku </w:t>
      </w:r>
      <w:r>
        <w:t>VI návrhu zákona se slova „15, 29 a 34“ nahrazují slovy „1, 9, 10, 11, 15, 20, 30, 34 a 40“.</w:t>
      </w: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3038EE">
      <w:pPr>
        <w:pStyle w:val="LO-normal"/>
        <w:jc w:val="both"/>
        <w:rPr>
          <w:b/>
          <w:u w:val="single"/>
        </w:rPr>
      </w:pPr>
      <w:bookmarkStart w:id="1" w:name="_GoBack"/>
      <w:bookmarkEnd w:id="1"/>
    </w:p>
    <w:p w:rsidR="003038EE" w:rsidRDefault="000C5CC6">
      <w:pPr>
        <w:pStyle w:val="LO-normal"/>
        <w:jc w:val="both"/>
      </w:pPr>
      <w:r>
        <w:rPr>
          <w:b/>
          <w:u w:val="single"/>
        </w:rPr>
        <w:t>Odůvodnění</w:t>
      </w:r>
    </w:p>
    <w:p w:rsidR="003038EE" w:rsidRDefault="003038EE">
      <w:pPr>
        <w:pStyle w:val="LO-normal"/>
        <w:jc w:val="both"/>
        <w:rPr>
          <w:b/>
          <w:u w:val="single"/>
        </w:rPr>
      </w:pPr>
    </w:p>
    <w:p w:rsidR="003038EE" w:rsidRDefault="000C5CC6">
      <w:pPr>
        <w:pStyle w:val="LO-normal"/>
        <w:jc w:val="both"/>
      </w:pPr>
      <w:r>
        <w:t xml:space="preserve">Jednou z hlavních příčin současné krize lesů je nevhodná druhová skladba, tedy výsadba zejména smrků a borovic do prostředí, kde by v přírodě </w:t>
      </w:r>
      <w:r>
        <w:t>jinak nerostly, nebo nevhodné způsoby jejich pěstování, spolu s holosečným způsobem hospodaření.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Důsledkem dřívější výsadby smrku na nevhodná stanoviště nižších a středních poloh a pahorkatin je skutečnost, že jen letošní nahodilá těžba kalamitního smrkov</w:t>
      </w:r>
      <w:r>
        <w:t>ého dřeva bude dle odhadů činit 30 až 50 milionů m</w:t>
      </w:r>
      <w:r>
        <w:rPr>
          <w:vertAlign w:val="superscript"/>
        </w:rPr>
        <w:t>3</w:t>
      </w:r>
      <w:r>
        <w:t xml:space="preserve">. Což je </w:t>
      </w:r>
      <w:proofErr w:type="spellStart"/>
      <w:r>
        <w:t>ekvikvalent</w:t>
      </w:r>
      <w:proofErr w:type="spellEnd"/>
      <w:r>
        <w:t xml:space="preserve"> jedné vytěžené plochy o velikosti minimálně jednoho fotbalového hřiště každé tři minuty nepřetržitě po celý rok 2019. Abychom obdobné situaci v budoucnu zabránili, je potřeba pěstovat </w:t>
      </w:r>
      <w:r>
        <w:t>lesy druhově i věkově pestré. Pestrá škála stromů je schopna mnohem účinněji čelit ohrožujícím faktorům, kterým bude v budoucnu les čelit.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 xml:space="preserve">Nynější znění lesního zákona požaduje při obnově lesa vysazovat takzvané meliorační a zpevňující dřeviny (MZD), což </w:t>
      </w:r>
      <w:r>
        <w:t>jsou především listnáče a jedle. Jejich podíl ale stanovila vyhláška č. 83/1996  Sb. v roce 1996 na velmi nízké úrovni - většinou mezi 5 až 30 procenty. Tím umožnila ve většině našich lesů nadále vysazovat převážně smrky, a to i na zcela nevhodných stanovi</w:t>
      </w:r>
      <w:r>
        <w:t>štích. Vzhledem k postupujícím klimatickým změnám je zapotřebí řešit tento problém zásadní změnou. Ministerstvo sice na konci loňského roku vydalo vyhlášku novou (č. 293/2018), ale podíl MZD v oblastech, kde je nejvíce ohrožených smrkových porostů, zvýšilo</w:t>
      </w:r>
      <w:r>
        <w:t xml:space="preserve"> průměrně o pouhých 10%, takže je tam nadále možné vysazovat 50-70% smrku.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Současný stav, kdy změna teplot s výhledem do r. 2040 a změna rozložení srážek znamená velmi přibližně posun vegetačních stupňů o 2-3 vegetační stupně níže a kdy značná část lesníc</w:t>
      </w:r>
      <w:r>
        <w:t>h půd je degradovaná tak, že se živná řada posunula na úroveň řady kyselé, je pro běžnou praxi značně matoucí a je jednou z příčin chyb v druhové skladbě obnovovaných porostů podle současné vyhlášky a zavedeného typologického systému. Zároveň panuje absolu</w:t>
      </w:r>
      <w:r>
        <w:t>tní nejistota o vhodné druhové skladbě za cca 50 let.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Navržená úprava tedy zpřesňuje obecnou povinnost vlastníka obnovovat les dřevinami ekologicky a klimaticky vhodnými. Tento termín uvolňuje a rozšiřuje možnosti vlastníka zvolit odpovídající dřeviny, př</w:t>
      </w:r>
      <w:r>
        <w:t>itom je přesnější a lépe vyjadřuje, co se od pěstování lesa očekává, a to i s ohledem na probíhající změny klimatu.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Jak výše uvedeno, dopady změn klimatu je těžké predikovat, a proto navržené změny dávají větší prostor erudici lesníků, aby vhodně se znalo</w:t>
      </w:r>
      <w:r>
        <w:t>stmi místního prostředí volili dřevinnou skladbu při obnově lesů s ohledem na podmínky daného stanoviště. Aby se však předešlo možným pochybením, mělo by být zároveň zavedeno nové závazné ustanovení LHP a LHO v podobě maximálně přípustného podílu rizikovýc</w:t>
      </w:r>
      <w:r>
        <w:t xml:space="preserve">h dřevin, které bude nahrazovat povinné podíly melioračních a zpevňujících dřevin. Způsob určení závazných ustanovení LHP a LHO bude stejně jako v současné době určovat prováděcí právní předpis. Tím zůstane zachována možnost státu </w:t>
      </w:r>
      <w:r>
        <w:lastRenderedPageBreak/>
        <w:t>lesní hospodaření usměrňo</w:t>
      </w:r>
      <w:r>
        <w:t>vat, aby se současný stav lesů dále nezhoršoval. Namísto podpory melioračních a zpevňujících dřevin úprava zavádí podporu výsadby domácích druhů ekologicky a klimaticky vhodných dřevin.</w:t>
      </w:r>
    </w:p>
    <w:p w:rsidR="003038EE" w:rsidRDefault="000C5CC6">
      <w:pPr>
        <w:pStyle w:val="LO-normal"/>
        <w:jc w:val="both"/>
      </w:pPr>
      <w:r>
        <w:t xml:space="preserve"> </w:t>
      </w:r>
    </w:p>
    <w:p w:rsidR="003038EE" w:rsidRDefault="000C5CC6">
      <w:pPr>
        <w:pStyle w:val="LO-normal"/>
        <w:jc w:val="both"/>
      </w:pPr>
      <w:r>
        <w:t>Pozměňovací návrh naplňuje Programové prohlášení vlády („"Zasadíme s</w:t>
      </w:r>
      <w:r>
        <w:t>e o ekologicky vhodné řešení nedostatečné druhové a věkové diverzifikace a kalamitních stavů v lesích."), Zásady státní lesnické politiky a opatření Národního lesnického programu II (6.1, 6.3, 7.5, 7.6 a 9.4).</w:t>
      </w:r>
    </w:p>
    <w:p w:rsidR="003038EE" w:rsidRDefault="003038EE">
      <w:pPr>
        <w:pStyle w:val="LO-normal"/>
        <w:jc w:val="both"/>
      </w:pPr>
    </w:p>
    <w:p w:rsidR="003038EE" w:rsidRDefault="000C5CC6">
      <w:pPr>
        <w:pStyle w:val="LO-normal"/>
        <w:jc w:val="both"/>
      </w:pPr>
      <w:r>
        <w:t>Z důvodu zachování právní jistoty a nezatěžov</w:t>
      </w:r>
      <w:r>
        <w:t>ání vlastníků lesa náklady vyvolanými změnou právní úpravy se počítá v dalších bodech pozměňovacího návrhu s odpovídajícími přechodnými ustanoveními, které mj. zachovávají v platnosti současné LHP. Zároveň je v dalších bodech pozměňovacího návrhu poskytnut</w:t>
      </w:r>
      <w:r>
        <w:t xml:space="preserve">a přiměřená </w:t>
      </w:r>
      <w:proofErr w:type="spellStart"/>
      <w:r>
        <w:t>legisvakanční</w:t>
      </w:r>
      <w:proofErr w:type="spellEnd"/>
      <w:r>
        <w:t xml:space="preserve"> lhůta, aby mohly být na zavedení nového režimu připraveny prováděcí právní předpisy (zejm. podle § 27 odst. 8 lesního zákona).</w:t>
      </w:r>
    </w:p>
    <w:p w:rsidR="003038EE" w:rsidRDefault="003038EE">
      <w:pPr>
        <w:pStyle w:val="LO-normal"/>
        <w:jc w:val="both"/>
      </w:pP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Vyznačení změn stávajícího zákona</w:t>
      </w: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jc w:val="both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Platné znění ustanovení zákona č. 289/1995 Sb., o lesích a o změně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doplnění některých zákonů (lesní zákon), ve znění pozdějších předpisů, s vyznačením navrhovaných změn podle pozměňovacího návrhu k novele:</w:t>
      </w:r>
    </w:p>
    <w:p w:rsidR="003038EE" w:rsidRDefault="003038EE">
      <w:pPr>
        <w:jc w:val="center"/>
        <w:rPr>
          <w:rFonts w:ascii="Arial" w:hAnsi="Arial"/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</w:t>
      </w:r>
    </w:p>
    <w:p w:rsidR="003038EE" w:rsidRDefault="003038EE">
      <w:pPr>
        <w:jc w:val="center"/>
        <w:rPr>
          <w:rFonts w:ascii="Arial" w:hAnsi="Arial"/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Vymezení pojmů</w:t>
      </w:r>
    </w:p>
    <w:p w:rsidR="003038EE" w:rsidRDefault="000C5C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účely tohoto zákona se rozumí</w:t>
      </w: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lesem lesní porosty s jejich prostředím a pozemky </w:t>
      </w:r>
      <w:r>
        <w:rPr>
          <w:rFonts w:ascii="Arial" w:hAnsi="Arial"/>
          <w:sz w:val="22"/>
          <w:szCs w:val="22"/>
        </w:rPr>
        <w:t>určené k plnění funkcí lesa,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funkcemi lesa přínosy podmíněné existencí lesa, které se člení na produkční a mimoprodukční,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lesními porosty stromy a keře lesních dřevin, které v daných podmínkách plní funkce lesa,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hospodařením v lese obnova, o</w:t>
      </w:r>
      <w:r>
        <w:rPr>
          <w:rFonts w:ascii="Arial" w:hAnsi="Arial"/>
          <w:sz w:val="22"/>
          <w:szCs w:val="22"/>
        </w:rPr>
        <w:t>chrana, výchova a těžba lesních porostů a ostatní činnosti zabezpečující plnění funkcí lesa,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ochranou lesa činnosti směřující k omezení vlivu škodlivých činitelů, ochranná opatření proti škodlivým činitelům a zmírňování následků jejich působení,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</w:t>
      </w:r>
      <w:r>
        <w:rPr>
          <w:rFonts w:ascii="Arial" w:hAnsi="Arial"/>
          <w:sz w:val="22"/>
          <w:szCs w:val="22"/>
        </w:rPr>
        <w:t>škodlivými činiteli škodlivé organismy, nepříznivé povětrnostní vlivy, imise a fyzikální nebo chemické faktory, způsobující poškození lesa,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g) škodlivými organismy původci chorob lesních porostů a rostlinní nebo živočišní škůdci lesních porostů,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h) obn</w:t>
      </w:r>
      <w:r>
        <w:rPr>
          <w:rFonts w:ascii="Arial" w:hAnsi="Arial"/>
          <w:sz w:val="22"/>
          <w:szCs w:val="22"/>
        </w:rPr>
        <w:t>ovou lesa soubor opatření vedoucích ke vzniku následného lesního porostu,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i) zalesněním založení lesního porostu,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j) zajištěním lesního porostu dosažení takového stavu lesního porostu, který po zalesnění dále nevyžaduje intenzivní ochranu a počet jedin</w:t>
      </w:r>
      <w:r>
        <w:rPr>
          <w:rFonts w:ascii="Arial" w:hAnsi="Arial"/>
          <w:sz w:val="22"/>
          <w:szCs w:val="22"/>
        </w:rPr>
        <w:t>ců a jejich rozmístění po zalesněné ploše a druhová skladba lesních dřevin dává předpoklady pro vznik stanovištně vhodného lesního porostu,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k) výchovou lesa opatření ovlivňující druhovou a prostorovou skladbu, růst, vývoj, zdravotní stav, odolnost a kval</w:t>
      </w:r>
      <w:r>
        <w:rPr>
          <w:rFonts w:ascii="Arial" w:hAnsi="Arial"/>
          <w:sz w:val="22"/>
          <w:szCs w:val="22"/>
        </w:rPr>
        <w:t>itu lesního porostu s cílem zabezpečit plnění funkcí lesa; výchovou není těžba mýtní,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l) těžbou </w:t>
      </w:r>
      <w:proofErr w:type="spellStart"/>
      <w:r>
        <w:rPr>
          <w:rFonts w:ascii="Arial" w:hAnsi="Arial"/>
          <w:sz w:val="22"/>
          <w:szCs w:val="22"/>
        </w:rPr>
        <w:t>předmýtní</w:t>
      </w:r>
      <w:proofErr w:type="spellEnd"/>
      <w:r>
        <w:rPr>
          <w:rFonts w:ascii="Arial" w:hAnsi="Arial"/>
          <w:sz w:val="22"/>
          <w:szCs w:val="22"/>
        </w:rPr>
        <w:t xml:space="preserve"> úmyslnou těžba prováděná za účelem výchovy porostu,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m) těžbou mýtní úmyslnou těžba prováděná za účelem obnovy porostu nebo výběr jednotlivých </w:t>
      </w:r>
      <w:r>
        <w:rPr>
          <w:rFonts w:ascii="Arial" w:hAnsi="Arial"/>
          <w:sz w:val="22"/>
          <w:szCs w:val="22"/>
        </w:rPr>
        <w:t>stromů v porostu určeném k obnově,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n) těžbou nahodilou těžba prováděná za účelem zpracování stromů suchých, vyvrácených, nemocných nebo poškozených,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o) těžbou mimořádnou těžba podmíněná povolením nebo rozhodnutím orgánu státní správy lesů,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p) přírodn</w:t>
      </w:r>
      <w:r>
        <w:rPr>
          <w:rFonts w:ascii="Arial" w:hAnsi="Arial"/>
          <w:sz w:val="22"/>
          <w:szCs w:val="22"/>
        </w:rPr>
        <w:t>ími lesními oblastmi souvislá území s obdobnými růstovými podmínkami pro les,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r) hospodářskými soubory jednotky diferenciace hospodaření v lesích stanovené v rámci přírodních lesních oblastí a charakterizované funkčním zaměřením, přírodními podmínkami a </w:t>
      </w:r>
      <w:r>
        <w:rPr>
          <w:rFonts w:ascii="Arial" w:hAnsi="Arial"/>
          <w:sz w:val="22"/>
          <w:szCs w:val="22"/>
        </w:rPr>
        <w:t>stavem lesních porostů,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s) porostem základní jednotka prostorového rozdělení lesa identifikovatelná v terénu a zobrazená na lesnické mapě</w:t>
      </w:r>
      <w:r>
        <w:rPr>
          <w:rFonts w:ascii="Arial" w:hAnsi="Arial"/>
          <w:strike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,</w:t>
      </w:r>
    </w:p>
    <w:p w:rsidR="003038EE" w:rsidRDefault="003038EE">
      <w:pPr>
        <w:jc w:val="both"/>
        <w:rPr>
          <w:rFonts w:ascii="Arial" w:hAnsi="Arial"/>
          <w:sz w:val="22"/>
          <w:szCs w:val="22"/>
        </w:rPr>
      </w:pPr>
    </w:p>
    <w:p w:rsidR="003038EE" w:rsidRDefault="000C5CC6">
      <w:p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t) 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 xml:space="preserve">ekologicky a klimaticky rizikovými dřevinami dřeviny, jejichž klimatické, půdní či jiné nároky neodpovídají 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>podmínkám daného stanoviště nebo jeho očekávaným změnám, které nejsou schopny přiměřeně odolávat působícím škodlivým činitelům či jiným stresovým faktorům nebo u nichž existuje vysoké riziko rozpadu jejich porostů; ekologicky a klimaticky rizikovými dřevin</w:t>
      </w:r>
      <w:r>
        <w:rPr>
          <w:rStyle w:val="Zdraznn"/>
          <w:rFonts w:ascii="Arial" w:hAnsi="Arial"/>
          <w:b/>
          <w:bCs/>
          <w:i w:val="0"/>
          <w:iCs w:val="0"/>
          <w:sz w:val="22"/>
          <w:szCs w:val="22"/>
        </w:rPr>
        <w:t>ami se dále vždy rozumí mimoevropské geograficky nepůvodní dřeviny, jejichž bezpečnost pěstování nebyla v tuzemských podmínkách dlouhodobě ověřena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24</w:t>
      </w:r>
    </w:p>
    <w:p w:rsidR="003038EE" w:rsidRDefault="003038EE">
      <w:pPr>
        <w:jc w:val="center"/>
        <w:rPr>
          <w:rFonts w:ascii="Arial" w:hAnsi="Arial"/>
          <w:sz w:val="22"/>
          <w:szCs w:val="22"/>
        </w:rPr>
      </w:pP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(2) Plány obsahují ustanovení závazná a doporučující. Závaznými ustanoveními plánu jsou maximální cel</w:t>
      </w:r>
      <w:r>
        <w:rPr>
          <w:rFonts w:ascii="Arial" w:hAnsi="Arial"/>
          <w:color w:val="000000"/>
          <w:sz w:val="22"/>
          <w:szCs w:val="22"/>
        </w:rPr>
        <w:t xml:space="preserve">ková výše těžeb a </w:t>
      </w:r>
      <w:r>
        <w:rPr>
          <w:rFonts w:ascii="Arial" w:hAnsi="Arial"/>
          <w:strike/>
          <w:color w:val="000000"/>
          <w:sz w:val="22"/>
          <w:szCs w:val="22"/>
        </w:rPr>
        <w:t>minimální podíl melioračních a zpevňujících dřevin při obnově porostu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maximální podíl ekologicky a klimaticky rizikových dřevin, který nesmí být překročen při obnově porostu, ani následnými výchovnými zásahy</w:t>
      </w:r>
      <w:r>
        <w:rPr>
          <w:rFonts w:ascii="Arial" w:hAnsi="Arial"/>
          <w:color w:val="000000"/>
          <w:sz w:val="22"/>
          <w:szCs w:val="22"/>
        </w:rPr>
        <w:t>. Vlastník lesa má právo na čás</w:t>
      </w:r>
      <w:r>
        <w:rPr>
          <w:rFonts w:ascii="Arial" w:hAnsi="Arial"/>
          <w:color w:val="000000"/>
          <w:sz w:val="22"/>
          <w:szCs w:val="22"/>
        </w:rPr>
        <w:t xml:space="preserve">tečnou úhradu zvýšených nákladů na výsadbu </w:t>
      </w:r>
      <w:r>
        <w:rPr>
          <w:rFonts w:ascii="Arial" w:hAnsi="Arial"/>
          <w:strike/>
          <w:color w:val="000000"/>
          <w:sz w:val="22"/>
          <w:szCs w:val="22"/>
        </w:rPr>
        <w:t>minimálního podílu melioračních a </w:t>
      </w:r>
      <w:r>
        <w:rPr>
          <w:rFonts w:ascii="Arial" w:hAnsi="Arial"/>
          <w:color w:val="000000"/>
          <w:sz w:val="22"/>
          <w:szCs w:val="22"/>
        </w:rPr>
        <w:t xml:space="preserve">zpevňujících </w:t>
      </w:r>
      <w:r>
        <w:rPr>
          <w:rFonts w:ascii="Arial" w:hAnsi="Arial"/>
          <w:b/>
          <w:bCs/>
          <w:color w:val="000000"/>
          <w:sz w:val="22"/>
          <w:szCs w:val="22"/>
        </w:rPr>
        <w:t>domácích druhů ekologicky a klimaticky vhodných</w:t>
      </w:r>
      <w:r>
        <w:rPr>
          <w:rFonts w:ascii="Arial" w:hAnsi="Arial"/>
          <w:color w:val="000000"/>
          <w:sz w:val="22"/>
          <w:szCs w:val="22"/>
        </w:rPr>
        <w:t xml:space="preserve"> dřevin vůči státu. Pravidla podpory výsadby těchto dřevin upraví ministerstvo právním předpisem. Pro státní lesy a les</w:t>
      </w:r>
      <w:r>
        <w:rPr>
          <w:rFonts w:ascii="Arial" w:hAnsi="Arial"/>
          <w:color w:val="000000"/>
          <w:sz w:val="22"/>
          <w:szCs w:val="22"/>
        </w:rPr>
        <w:t>y ve vlastnictví obcí je závazným ustanovením též minimální plošný rozsah výchovných zásahů v porostech do 40 let věku.</w:t>
      </w: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25</w:t>
      </w:r>
    </w:p>
    <w:p w:rsidR="003038EE" w:rsidRDefault="003038EE">
      <w:pPr>
        <w:jc w:val="both"/>
        <w:rPr>
          <w:rFonts w:ascii="Arial" w:hAnsi="Arial"/>
          <w:sz w:val="22"/>
          <w:szCs w:val="22"/>
        </w:rPr>
      </w:pP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(3) Pro vlastníka lesa o výměře větší než 3 ha, který má zájem využít osnovu pro hospodaření v lese a protokolem o převzetí ji př</w:t>
      </w:r>
      <w:r>
        <w:rPr>
          <w:rFonts w:ascii="Arial" w:hAnsi="Arial"/>
          <w:color w:val="000000"/>
          <w:sz w:val="22"/>
          <w:szCs w:val="22"/>
        </w:rPr>
        <w:t xml:space="preserve">evezme, se stává závaznou celková výše těžeb, která je nepřekročitelná, a </w:t>
      </w:r>
      <w:r>
        <w:rPr>
          <w:rFonts w:ascii="Arial" w:hAnsi="Arial"/>
          <w:strike/>
          <w:color w:val="000000"/>
          <w:sz w:val="22"/>
          <w:szCs w:val="22"/>
        </w:rPr>
        <w:t>podíl melioračních a zpevňujících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maximální podíl ekologicky a klimaticky rizikových </w:t>
      </w:r>
      <w:r>
        <w:rPr>
          <w:rFonts w:ascii="Arial" w:hAnsi="Arial"/>
          <w:color w:val="000000"/>
          <w:sz w:val="22"/>
          <w:szCs w:val="22"/>
        </w:rPr>
        <w:t xml:space="preserve">dřevin. Pro vlastníka lesa o výměře do 3 ha, který má zájem využít osnovu pro hospodaření v lese </w:t>
      </w:r>
      <w:r>
        <w:rPr>
          <w:rFonts w:ascii="Arial" w:hAnsi="Arial"/>
          <w:color w:val="000000"/>
          <w:sz w:val="22"/>
          <w:szCs w:val="22"/>
        </w:rPr>
        <w:t xml:space="preserve">a protokolem o převzetí ji převezme, se stává závaznou celková výše těžeb, která je nepřekročitelná. Ustanovení </w:t>
      </w:r>
      <w:r>
        <w:rPr>
          <w:rFonts w:ascii="Arial" w:hAnsi="Arial"/>
          <w:color w:val="000000"/>
          <w:sz w:val="22"/>
          <w:szCs w:val="22"/>
        </w:rPr>
        <w:t>§ 24 odst. 2</w:t>
      </w:r>
      <w:r>
        <w:rPr>
          <w:rFonts w:ascii="Arial" w:hAnsi="Arial"/>
          <w:color w:val="000000"/>
          <w:sz w:val="22"/>
          <w:szCs w:val="22"/>
        </w:rPr>
        <w:t xml:space="preserve"> se užije obdobně.</w:t>
      </w:r>
    </w:p>
    <w:p w:rsidR="003038EE" w:rsidRDefault="003038EE">
      <w:pPr>
        <w:rPr>
          <w:rFonts w:ascii="Arial" w:hAnsi="Arial"/>
          <w:color w:val="000000"/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§ 31</w:t>
      </w:r>
    </w:p>
    <w:p w:rsidR="003038EE" w:rsidRDefault="003038EE">
      <w:pPr>
        <w:jc w:val="center"/>
        <w:rPr>
          <w:rFonts w:ascii="Arial" w:hAnsi="Arial"/>
          <w:color w:val="000000"/>
          <w:sz w:val="22"/>
          <w:szCs w:val="22"/>
        </w:rPr>
      </w:pPr>
    </w:p>
    <w:p w:rsidR="003038EE" w:rsidRDefault="000C5CC6">
      <w:pPr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(1) Vlastník lesa je povinen obnovovat lesní porosty </w:t>
      </w:r>
      <w:r>
        <w:rPr>
          <w:rFonts w:ascii="Arial" w:hAnsi="Arial"/>
          <w:strike/>
          <w:color w:val="000000"/>
          <w:sz w:val="22"/>
          <w:szCs w:val="22"/>
        </w:rPr>
        <w:t>stanovištně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ekologicky a klimaticky</w:t>
      </w:r>
      <w:r>
        <w:rPr>
          <w:rFonts w:ascii="Arial" w:hAnsi="Arial"/>
          <w:color w:val="000000"/>
          <w:sz w:val="22"/>
          <w:szCs w:val="22"/>
        </w:rPr>
        <w:t xml:space="preserve"> vhodnými dřevinam</w:t>
      </w:r>
      <w:r>
        <w:rPr>
          <w:rFonts w:ascii="Arial" w:hAnsi="Arial"/>
          <w:color w:val="000000"/>
          <w:sz w:val="22"/>
          <w:szCs w:val="22"/>
        </w:rPr>
        <w:t>i a vychovávat je včas a soustavně tak, aby se zlepšoval jejich stav, zvyšovala jejich odolnost a zlepšovalo plnění funkcí lesa. Ve vhodných podmínkách je žádoucí využívat přirozené obnovy; přirozené obnovy nelze použít v porostech geneticky nevhodných.</w:t>
      </w: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46</w:t>
      </w:r>
    </w:p>
    <w:p w:rsidR="003038EE" w:rsidRDefault="003038EE">
      <w:pPr>
        <w:jc w:val="center"/>
        <w:rPr>
          <w:rFonts w:ascii="Arial" w:hAnsi="Arial"/>
          <w:sz w:val="22"/>
          <w:szCs w:val="22"/>
        </w:rPr>
      </w:pP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(1) Stát podporuje hospodaření v lesích poskytováním služeb nebo finančních příspěvků vlastníkům lesů. Finanční příspěvky mohou být poskytnuty zejména </w:t>
      </w:r>
      <w:proofErr w:type="gramStart"/>
      <w:r>
        <w:rPr>
          <w:rFonts w:ascii="Arial" w:hAnsi="Arial"/>
          <w:color w:val="000000"/>
          <w:sz w:val="22"/>
          <w:szCs w:val="22"/>
        </w:rPr>
        <w:t>na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3038EE" w:rsidRDefault="000C5CC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3038EE" w:rsidRDefault="000C5CC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c) zvyšování podílu </w:t>
      </w:r>
      <w:r>
        <w:rPr>
          <w:rFonts w:ascii="Arial" w:hAnsi="Arial"/>
          <w:strike/>
          <w:color w:val="000000"/>
          <w:sz w:val="22"/>
          <w:szCs w:val="22"/>
        </w:rPr>
        <w:t>melioračních a zpevňujících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domácích druhů ekologicky a klimaticky </w:t>
      </w:r>
      <w:r>
        <w:rPr>
          <w:rFonts w:ascii="Arial" w:hAnsi="Arial"/>
          <w:b/>
          <w:bCs/>
          <w:color w:val="000000"/>
          <w:sz w:val="22"/>
          <w:szCs w:val="22"/>
        </w:rPr>
        <w:t>vhodných</w:t>
      </w:r>
      <w:r>
        <w:rPr>
          <w:rFonts w:ascii="Arial" w:hAnsi="Arial"/>
          <w:color w:val="000000"/>
          <w:sz w:val="22"/>
          <w:szCs w:val="22"/>
        </w:rPr>
        <w:t xml:space="preserve"> dřevin,</w:t>
      </w:r>
    </w:p>
    <w:p w:rsidR="003038EE" w:rsidRDefault="003038EE">
      <w:pPr>
        <w:rPr>
          <w:rFonts w:ascii="Arial" w:hAnsi="Arial"/>
          <w:color w:val="000000"/>
          <w:sz w:val="22"/>
          <w:szCs w:val="22"/>
        </w:rPr>
      </w:pPr>
    </w:p>
    <w:p w:rsidR="003038EE" w:rsidRDefault="003038EE">
      <w:pPr>
        <w:rPr>
          <w:rFonts w:ascii="Arial" w:hAnsi="Arial"/>
          <w:b/>
          <w:bCs/>
          <w:color w:val="000000"/>
          <w:sz w:val="22"/>
          <w:szCs w:val="22"/>
        </w:rPr>
      </w:pPr>
    </w:p>
    <w:p w:rsidR="003038EE" w:rsidRDefault="000C5CC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Vyznačení změn majících dopad pouze na text předloženého návrhu zákona:</w:t>
      </w:r>
    </w:p>
    <w:p w:rsidR="003038EE" w:rsidRDefault="003038EE">
      <w:pPr>
        <w:rPr>
          <w:rFonts w:ascii="Arial" w:hAnsi="Arial"/>
          <w:b/>
          <w:bCs/>
          <w:color w:val="000000"/>
          <w:sz w:val="22"/>
          <w:szCs w:val="22"/>
        </w:rPr>
      </w:pPr>
    </w:p>
    <w:p w:rsidR="003038EE" w:rsidRDefault="003038EE">
      <w:pPr>
        <w:rPr>
          <w:rFonts w:ascii="Arial" w:hAnsi="Arial"/>
          <w:b/>
          <w:bCs/>
          <w:color w:val="000000"/>
          <w:sz w:val="22"/>
          <w:szCs w:val="22"/>
        </w:rPr>
      </w:pPr>
    </w:p>
    <w:p w:rsidR="003038EE" w:rsidRDefault="003038EE">
      <w:pPr>
        <w:rPr>
          <w:rFonts w:ascii="Arial" w:hAnsi="Arial"/>
          <w:b/>
          <w:bCs/>
          <w:color w:val="000000"/>
          <w:sz w:val="22"/>
          <w:szCs w:val="22"/>
        </w:rPr>
      </w:pPr>
    </w:p>
    <w:p w:rsidR="003038EE" w:rsidRDefault="000C5C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Čl. II</w:t>
      </w:r>
    </w:p>
    <w:p w:rsidR="003038EE" w:rsidRDefault="003038EE">
      <w:pPr>
        <w:pStyle w:val="Default"/>
        <w:jc w:val="center"/>
        <w:rPr>
          <w:sz w:val="22"/>
          <w:szCs w:val="22"/>
        </w:rPr>
      </w:pPr>
    </w:p>
    <w:p w:rsidR="003038EE" w:rsidRDefault="000C5C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Přechodná ustanovení</w:t>
      </w:r>
    </w:p>
    <w:p w:rsidR="003038EE" w:rsidRDefault="003038EE">
      <w:pPr>
        <w:jc w:val="center"/>
        <w:rPr>
          <w:rFonts w:ascii="Arial" w:hAnsi="Arial"/>
          <w:bCs/>
          <w:sz w:val="22"/>
          <w:szCs w:val="22"/>
        </w:rPr>
      </w:pPr>
    </w:p>
    <w:p w:rsidR="003038EE" w:rsidRDefault="000C5CC6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Správní řízení, která byla zahájena podle zákona č. 289/1995 Sb., ve znění účinném přede dnem nabytí účinnosti tohoto zákona, se </w:t>
      </w:r>
      <w:r>
        <w:rPr>
          <w:sz w:val="22"/>
          <w:szCs w:val="22"/>
        </w:rPr>
        <w:t>dokončí podle zákona č. 289/1995 Sb., ve znění účinném přede dnem nabytí účinnosti tohoto zákona.</w:t>
      </w:r>
    </w:p>
    <w:p w:rsidR="003038EE" w:rsidRDefault="003038EE">
      <w:pPr>
        <w:pStyle w:val="Default"/>
        <w:jc w:val="both"/>
        <w:rPr>
          <w:sz w:val="22"/>
          <w:szCs w:val="22"/>
        </w:rPr>
      </w:pP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Řízení o schvalování lesních hospodářských plánů nebo povolování jejich změn zahájená přede dnem nabytí účinnosti tohoto zákona se dokončí podle dosavadní</w:t>
      </w:r>
      <w:r>
        <w:rPr>
          <w:rFonts w:ascii="Arial" w:hAnsi="Arial"/>
          <w:b/>
          <w:bCs/>
          <w:sz w:val="22"/>
          <w:szCs w:val="22"/>
        </w:rPr>
        <w:t>ch právních předpisů.</w:t>
      </w:r>
    </w:p>
    <w:p w:rsidR="003038EE" w:rsidRDefault="000C5CC6">
      <w:pPr>
        <w:pStyle w:val="LO-normal"/>
        <w:jc w:val="both"/>
      </w:pPr>
      <w:r>
        <w:t xml:space="preserve"> </w:t>
      </w:r>
    </w:p>
    <w:p w:rsidR="003038EE" w:rsidRDefault="000C5CC6">
      <w:pPr>
        <w:pStyle w:val="LO-normal"/>
        <w:jc w:val="both"/>
      </w:pPr>
      <w:r>
        <w:rPr>
          <w:b/>
          <w:color w:val="000000"/>
        </w:rPr>
        <w:t>3. Lesní hospodářské plány schválené přede dnem nabytí účinnosti ustanovení tohoto zákona měnících obsah závazných ustanovení lesních hospodářských plánů a lesní hospodářské osnovy zpracované přede dnem nabytí účinnosti ustanovení t</w:t>
      </w:r>
      <w:r>
        <w:rPr>
          <w:b/>
          <w:color w:val="000000"/>
        </w:rPr>
        <w:t>ohoto zákona měnících obsah závazných ustanovení lesních hospodářských osnov zůstávají i nadále v platnosti; jejich obsah včetně závazných ustanovení se posuzuje podle právních předpisů ve znění ke dni předcházejícímu nabytí účinnosti tohoto zákona. Vlastn</w:t>
      </w:r>
      <w:r>
        <w:rPr>
          <w:b/>
          <w:color w:val="000000"/>
        </w:rPr>
        <w:t xml:space="preserve">ík lesa má právo i před skončením platnosti takového lesního hospodářského plánu předložit návrh nového lesního hospodářského plánu podle zákona č. 289/1995 </w:t>
      </w:r>
      <w:proofErr w:type="spellStart"/>
      <w:r>
        <w:rPr>
          <w:b/>
          <w:color w:val="000000"/>
        </w:rPr>
        <w:t>Sb</w:t>
      </w:r>
      <w:proofErr w:type="spellEnd"/>
      <w:r>
        <w:rPr>
          <w:b/>
          <w:color w:val="000000"/>
        </w:rPr>
        <w:t>, o lesích a o změně a doplnění některých zákonů (lesní zákon), ve znění po nabytí účinnosti usta</w:t>
      </w:r>
      <w:r>
        <w:rPr>
          <w:b/>
          <w:color w:val="000000"/>
        </w:rPr>
        <w:t>novení tohoto zákona měnících obsah závazných částí lesních hospodářských plánů, jehož schválením se stávající lesní hospodářský plán nahradí.</w:t>
      </w:r>
    </w:p>
    <w:p w:rsidR="003038EE" w:rsidRDefault="000C5C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38EE" w:rsidRDefault="000C5C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trike/>
          <w:color w:val="000000"/>
          <w:sz w:val="22"/>
          <w:szCs w:val="22"/>
        </w:rPr>
        <w:t>2.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4. </w:t>
      </w:r>
      <w:r>
        <w:rPr>
          <w:rFonts w:ascii="Arial" w:hAnsi="Arial"/>
          <w:color w:val="000000"/>
          <w:sz w:val="22"/>
          <w:szCs w:val="22"/>
        </w:rPr>
        <w:t>Fyzická nebo právnická osoba, které byla udělena licence podle § 42 odst. 2 nebo 3 zákona č. 289/1995 Sb., ve znění účinném přede dnem nabytí účinnosti tohoto zákona, se považuje za fyzickou nebo právnickou osobu, které byla licence udělena podle § 42 odst</w:t>
      </w:r>
      <w:r>
        <w:rPr>
          <w:rFonts w:ascii="Arial" w:hAnsi="Arial"/>
          <w:color w:val="000000"/>
          <w:sz w:val="22"/>
          <w:szCs w:val="22"/>
        </w:rPr>
        <w:t xml:space="preserve">. 2 nebo 3 zákona č. 289/1995 Sb., ve znění účinném ode dne nabytí účinnosti tohoto zákona. </w:t>
      </w:r>
    </w:p>
    <w:p w:rsidR="003038EE" w:rsidRDefault="003038EE">
      <w:pPr>
        <w:rPr>
          <w:rFonts w:ascii="Arial" w:hAnsi="Arial"/>
          <w:b/>
          <w:sz w:val="22"/>
          <w:szCs w:val="22"/>
        </w:rPr>
      </w:pPr>
    </w:p>
    <w:p w:rsidR="003038EE" w:rsidRDefault="003038EE">
      <w:pPr>
        <w:rPr>
          <w:rFonts w:ascii="Arial" w:hAnsi="Arial"/>
          <w:sz w:val="22"/>
          <w:szCs w:val="22"/>
        </w:rPr>
      </w:pPr>
    </w:p>
    <w:p w:rsidR="003038EE" w:rsidRDefault="000C5C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ČÁST ČTVRTÁ </w:t>
      </w:r>
    </w:p>
    <w:p w:rsidR="003038EE" w:rsidRDefault="003038EE">
      <w:pPr>
        <w:pStyle w:val="Default"/>
        <w:jc w:val="center"/>
        <w:rPr>
          <w:b/>
          <w:sz w:val="22"/>
          <w:szCs w:val="22"/>
        </w:rPr>
      </w:pPr>
    </w:p>
    <w:p w:rsidR="003038EE" w:rsidRDefault="000C5CC6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Účinnost </w:t>
      </w:r>
    </w:p>
    <w:p w:rsidR="003038EE" w:rsidRDefault="003038EE">
      <w:pPr>
        <w:pStyle w:val="Default"/>
        <w:jc w:val="center"/>
        <w:rPr>
          <w:sz w:val="22"/>
          <w:szCs w:val="22"/>
        </w:rPr>
      </w:pPr>
    </w:p>
    <w:p w:rsidR="003038EE" w:rsidRDefault="000C5C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Čl. VI </w:t>
      </w:r>
    </w:p>
    <w:p w:rsidR="003038EE" w:rsidRDefault="003038EE">
      <w:pPr>
        <w:pStyle w:val="Default"/>
        <w:jc w:val="center"/>
        <w:rPr>
          <w:sz w:val="22"/>
          <w:szCs w:val="22"/>
        </w:rPr>
      </w:pPr>
    </w:p>
    <w:p w:rsidR="003038EE" w:rsidRDefault="000C5CC6">
      <w:pPr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Tento zákon nabývá účinnosti dnem následujícím po dni jeho vyhlášení, s výjimkou ustanovení čl. I bodů </w:t>
      </w:r>
      <w:r>
        <w:rPr>
          <w:rFonts w:ascii="Arial" w:hAnsi="Arial"/>
          <w:strike/>
          <w:color w:val="000000"/>
          <w:sz w:val="22"/>
          <w:szCs w:val="22"/>
        </w:rPr>
        <w:t>15, 29 a 34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1, 9, 10, </w:t>
      </w:r>
      <w:r>
        <w:rPr>
          <w:rFonts w:ascii="Arial" w:hAnsi="Arial"/>
          <w:b/>
          <w:bCs/>
          <w:color w:val="000000"/>
          <w:sz w:val="22"/>
          <w:szCs w:val="22"/>
        </w:rPr>
        <w:t>11, 15, 20, 30, 34 a 40</w:t>
      </w:r>
      <w:r>
        <w:rPr>
          <w:rFonts w:ascii="Arial" w:hAnsi="Arial"/>
          <w:color w:val="000000"/>
          <w:sz w:val="22"/>
          <w:szCs w:val="22"/>
        </w:rPr>
        <w:t xml:space="preserve"> a ustanovení části třetí, která nabývají účinnosti uplynutím dvou let od jeho vyhlášení. </w:t>
      </w:r>
    </w:p>
    <w:sectPr w:rsidR="003038EE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38EE"/>
    <w:rsid w:val="000C5CC6"/>
    <w:rsid w:val="003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rPr>
      <w:rFonts w:ascii="Arial" w:eastAsia="Arial" w:hAnsi="Arial" w:cs="Arial"/>
      <w:color w:val="00000A"/>
      <w:kern w:val="0"/>
      <w:sz w:val="22"/>
      <w:szCs w:val="22"/>
      <w:lang w:val="cs" w:eastAsia="en-US" w:bidi="ar-SA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kern w:val="0"/>
      <w:sz w:val="24"/>
      <w:lang w:val="c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2185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Kyzour</dc:creator>
  <dc:description/>
  <cp:lastModifiedBy>chrobak</cp:lastModifiedBy>
  <cp:revision>7</cp:revision>
  <dcterms:created xsi:type="dcterms:W3CDTF">2019-10-19T13:32:00Z</dcterms:created>
  <dcterms:modified xsi:type="dcterms:W3CDTF">2019-10-19T16:33:00Z</dcterms:modified>
  <dc:language>cs-CZ</dc:language>
</cp:coreProperties>
</file>